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0D282" w14:textId="77777777" w:rsidR="00910E3E" w:rsidRPr="004B067C" w:rsidRDefault="00910E3E" w:rsidP="00CC249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</w:pPr>
      <w:r w:rsidRPr="004B067C"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  <w:t>PRZEKSZTAŁCENIE PRAWA UŻYTKOWANIA WIECZYSTEGO W PRAWO WŁASNOŚCI GRUNTÓW ZABUDOWANYCH NA CELE MIESZKANIOWE STANOWIĄCYCH WŁASNOŚĆ GMINY MIASTA ŁÓDŹ, NA PODSTAWIE USTAWY Z DNIA 20 LIPCA 2018 R.</w:t>
      </w:r>
    </w:p>
    <w:p w14:paraId="28F86A8B" w14:textId="77777777" w:rsidR="00910E3E" w:rsidRPr="002172A0" w:rsidRDefault="00910E3E" w:rsidP="002172A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noProof w:val="0"/>
          <w:lang w:eastAsia="pl-PL"/>
        </w:rPr>
      </w:pPr>
      <w:r w:rsidRPr="00767EC5">
        <w:rPr>
          <w:rFonts w:ascii="Times New Roman" w:hAnsi="Times New Roman"/>
          <w:b/>
          <w:noProof w:val="0"/>
          <w:lang w:eastAsia="pl-PL"/>
        </w:rPr>
        <w:t>1. Informacje ogólne</w:t>
      </w:r>
    </w:p>
    <w:p w14:paraId="5D1C1B82" w14:textId="77777777" w:rsidR="00910E3E" w:rsidRPr="00FC130B" w:rsidRDefault="00910E3E" w:rsidP="000C7F3D">
      <w:pPr>
        <w:ind w:left="60"/>
        <w:jc w:val="both"/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</w:pP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W 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dniu 11 stycznia 2019 r. </w:t>
      </w:r>
      <w:r w:rsidRPr="00FC130B">
        <w:rPr>
          <w:rFonts w:ascii="Times New Roman" w:hAnsi="Times New Roman"/>
          <w:b/>
          <w:sz w:val="24"/>
          <w:szCs w:val="24"/>
          <w:u w:val="single"/>
        </w:rPr>
        <w:t xml:space="preserve">Krajowa Rada Notarialna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przyjęła stanowisko w sprawie sporządzania po dniu 1 stycznia 2019 r. przez notariuszy aktów notarialnych obejmujących umowy zbycia nieruchomości objętych ustawą z dnia 20 lipca 2018 r., zgodnie z którym </w:t>
      </w: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w przypadku zbycia lokalu 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mieszkalnego </w:t>
      </w: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>na rynku wtórnym nie jest konieczne uprzednie uzyskanie zaświadczenia o przekształceniu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. </w:t>
      </w: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>Stanowisko takie respektuje Rada</w:t>
      </w: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 Izby Notarialnej w Łodzi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 oraz XVI Wydział</w:t>
      </w: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 Ksiąg Wieczystych Sądu Rejonowego 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>dla Łodzi – Śródmieścia w Łodzi.</w:t>
      </w:r>
    </w:p>
    <w:p w14:paraId="1A581FDF" w14:textId="77777777" w:rsidR="00910E3E" w:rsidRPr="002172A0" w:rsidRDefault="00910E3E" w:rsidP="002172A0">
      <w:pPr>
        <w:tabs>
          <w:tab w:val="left" w:pos="-360"/>
          <w:tab w:val="left" w:pos="0"/>
        </w:tabs>
        <w:spacing w:after="0" w:line="240" w:lineRule="auto"/>
        <w:ind w:left="-360"/>
        <w:jc w:val="both"/>
        <w:rPr>
          <w:rFonts w:ascii="Times New Roman" w:hAnsi="Times New Roman"/>
          <w:b/>
          <w:noProof w:val="0"/>
          <w:lang w:eastAsia="pl-PL"/>
        </w:rPr>
      </w:pPr>
    </w:p>
    <w:p w14:paraId="41CB7917" w14:textId="77777777" w:rsidR="00910E3E" w:rsidRPr="000C20E7" w:rsidRDefault="00910E3E" w:rsidP="000C20E7">
      <w:pPr>
        <w:numPr>
          <w:ilvl w:val="1"/>
          <w:numId w:val="1"/>
        </w:numPr>
        <w:tabs>
          <w:tab w:val="clear" w:pos="1140"/>
          <w:tab w:val="left" w:pos="-360"/>
          <w:tab w:val="left" w:pos="0"/>
        </w:tabs>
        <w:spacing w:after="0" w:line="240" w:lineRule="auto"/>
        <w:ind w:left="0"/>
        <w:jc w:val="both"/>
        <w:rPr>
          <w:rStyle w:val="gwp8841ae70size"/>
          <w:rFonts w:ascii="Times New Roman" w:hAnsi="Times New Roman"/>
          <w:b/>
          <w:noProof w:val="0"/>
          <w:lang w:eastAsia="pl-PL"/>
        </w:rPr>
      </w:pPr>
      <w:r>
        <w:rPr>
          <w:rFonts w:ascii="Times New Roman" w:hAnsi="Times New Roman"/>
          <w:noProof w:val="0"/>
          <w:lang w:eastAsia="pl-PL"/>
        </w:rPr>
        <w:t xml:space="preserve">Zgodnie z </w:t>
      </w:r>
      <w:r w:rsidRPr="00767EC5">
        <w:rPr>
          <w:rFonts w:ascii="Times New Roman" w:hAnsi="Times New Roman"/>
          <w:noProof w:val="0"/>
          <w:lang w:eastAsia="pl-PL"/>
        </w:rPr>
        <w:t>ustawą</w:t>
      </w:r>
      <w:r>
        <w:rPr>
          <w:rFonts w:ascii="Times New Roman" w:hAnsi="Times New Roman"/>
          <w:noProof w:val="0"/>
          <w:lang w:eastAsia="pl-PL"/>
        </w:rPr>
        <w:t xml:space="preserve"> z dnia 20 lipca 2018 r.</w:t>
      </w:r>
      <w:r w:rsidRPr="00767EC5">
        <w:rPr>
          <w:rFonts w:ascii="Times New Roman" w:hAnsi="Times New Roman"/>
          <w:noProof w:val="0"/>
          <w:lang w:eastAsia="pl-PL"/>
        </w:rPr>
        <w:t>, z dniem 1 stycznia 2019 r. nastąpi</w:t>
      </w:r>
      <w:r>
        <w:rPr>
          <w:rFonts w:ascii="Times New Roman" w:hAnsi="Times New Roman"/>
          <w:noProof w:val="0"/>
          <w:lang w:eastAsia="pl-PL"/>
        </w:rPr>
        <w:t>ło</w:t>
      </w:r>
      <w:r w:rsidRPr="00767EC5">
        <w:rPr>
          <w:rFonts w:ascii="Times New Roman" w:hAnsi="Times New Roman"/>
          <w:noProof w:val="0"/>
          <w:lang w:eastAsia="pl-PL"/>
        </w:rPr>
        <w:t xml:space="preserve"> przekształcenie prawa użytkowania wieczystego gruntów zabudowanych na cele mieszkaniowe w prawo własności. Przekształceniu podlegają </w:t>
      </w:r>
      <w:r w:rsidRPr="00767EC5">
        <w:rPr>
          <w:rStyle w:val="gwp8841ae70size"/>
          <w:rFonts w:ascii="Times New Roman" w:hAnsi="Times New Roman"/>
          <w:color w:val="000000"/>
        </w:rPr>
        <w:t xml:space="preserve">nieruchomości zabudowane </w:t>
      </w:r>
      <w:r w:rsidRPr="00767EC5">
        <w:rPr>
          <w:rStyle w:val="gwp8841ae70size"/>
          <w:rFonts w:ascii="Times New Roman" w:hAnsi="Times New Roman"/>
          <w:b/>
          <w:color w:val="000000"/>
        </w:rPr>
        <w:t>wyłącznie</w:t>
      </w:r>
      <w:r w:rsidRPr="00767EC5">
        <w:rPr>
          <w:rStyle w:val="gwp8841ae70size"/>
          <w:rFonts w:ascii="Times New Roman" w:hAnsi="Times New Roman"/>
          <w:color w:val="000000"/>
        </w:rPr>
        <w:t xml:space="preserve"> budynkami mieszkalnymi jednorodzinnymi lub mieszkalnymi wielorodzinnymi, w których co najmniej połowę liczby lokali stanowią lokale mieszkalne, a także nieruchomości zabudowane budynkami mieszkalnymi jednorodzinnymi i wielorodzinnymi wraz z infrastrukturą towarzyszącą. W odniesieniu do gruntów niezabudowanych albo zabudowanych wyłącznie budynkami gospodarczymi lub zespołem garaży nie dojdzie do przekształcenia z dniem 1 stycznia 2019 r.</w:t>
      </w:r>
    </w:p>
    <w:p w14:paraId="35F14158" w14:textId="77777777" w:rsidR="00910E3E" w:rsidRPr="004B067C" w:rsidRDefault="00910E3E" w:rsidP="001E0536">
      <w:pPr>
        <w:numPr>
          <w:ilvl w:val="1"/>
          <w:numId w:val="1"/>
        </w:numPr>
        <w:tabs>
          <w:tab w:val="clear" w:pos="1140"/>
          <w:tab w:val="num" w:pos="0"/>
        </w:tabs>
        <w:spacing w:after="0" w:line="240" w:lineRule="auto"/>
        <w:ind w:left="0"/>
        <w:jc w:val="both"/>
        <w:rPr>
          <w:rStyle w:val="gwp8841ae70size"/>
          <w:rFonts w:ascii="Times New Roman" w:hAnsi="Times New Roman"/>
          <w:noProof w:val="0"/>
          <w:lang w:eastAsia="pl-PL"/>
        </w:rPr>
      </w:pPr>
      <w:r w:rsidRPr="00767EC5">
        <w:rPr>
          <w:rStyle w:val="gwp8841ae70size"/>
          <w:rFonts w:ascii="Times New Roman" w:hAnsi="Times New Roman"/>
          <w:color w:val="000000"/>
        </w:rPr>
        <w:t xml:space="preserve">Jeśli np. na gruncie znajduje się budynek mieszkalny i handlowo-usługowy, przekształcenie będzie możliwe po wcześniejszym dokonaniu podziału </w:t>
      </w:r>
      <w:r>
        <w:rPr>
          <w:rStyle w:val="gwp8841ae70size"/>
          <w:rFonts w:ascii="Times New Roman" w:hAnsi="Times New Roman"/>
          <w:color w:val="000000"/>
        </w:rPr>
        <w:t xml:space="preserve">geodezyjnego </w:t>
      </w:r>
      <w:r w:rsidRPr="00767EC5">
        <w:rPr>
          <w:rStyle w:val="gwp8841ae70size"/>
          <w:rFonts w:ascii="Times New Roman" w:hAnsi="Times New Roman"/>
          <w:color w:val="000000"/>
        </w:rPr>
        <w:t>nieruchomości tak, aby wyłączyć część gruntu zajęt</w:t>
      </w:r>
      <w:r>
        <w:rPr>
          <w:rStyle w:val="gwp8841ae70size"/>
          <w:rFonts w:ascii="Times New Roman" w:hAnsi="Times New Roman"/>
          <w:color w:val="000000"/>
        </w:rPr>
        <w:t>ego</w:t>
      </w:r>
      <w:r w:rsidRPr="00767EC5">
        <w:rPr>
          <w:rStyle w:val="gwp8841ae70size"/>
          <w:rFonts w:ascii="Times New Roman" w:hAnsi="Times New Roman"/>
          <w:color w:val="000000"/>
        </w:rPr>
        <w:t xml:space="preserve"> pod budynkiem </w:t>
      </w:r>
      <w:r>
        <w:rPr>
          <w:rStyle w:val="gwp8841ae70size"/>
          <w:rFonts w:ascii="Times New Roman" w:hAnsi="Times New Roman"/>
          <w:color w:val="000000"/>
        </w:rPr>
        <w:t xml:space="preserve">handlowo - </w:t>
      </w:r>
      <w:r w:rsidRPr="00767EC5">
        <w:rPr>
          <w:rStyle w:val="gwp8841ae70size"/>
          <w:rFonts w:ascii="Times New Roman" w:hAnsi="Times New Roman"/>
          <w:color w:val="000000"/>
        </w:rPr>
        <w:t>usługow</w:t>
      </w:r>
      <w:r>
        <w:rPr>
          <w:rStyle w:val="gwp8841ae70size"/>
          <w:rFonts w:ascii="Times New Roman" w:hAnsi="Times New Roman"/>
          <w:color w:val="000000"/>
        </w:rPr>
        <w:t>ym</w:t>
      </w:r>
      <w:r w:rsidRPr="00767EC5">
        <w:rPr>
          <w:rStyle w:val="gwp8841ae70size"/>
          <w:rFonts w:ascii="Times New Roman" w:hAnsi="Times New Roman"/>
          <w:color w:val="000000"/>
        </w:rPr>
        <w:t xml:space="preserve"> z księgi wieczystej. W przypadku, gdy nieruchomość składa się z kilku działek i tylko jedna z nich jest zabudowana budynkiem niemieszkalnym, należy przenieść taką działkę do innej księgi wieczystej.</w:t>
      </w:r>
    </w:p>
    <w:p w14:paraId="0364AC95" w14:textId="77777777" w:rsidR="00910E3E" w:rsidRPr="00767EC5" w:rsidRDefault="00910E3E" w:rsidP="001E0536">
      <w:pPr>
        <w:numPr>
          <w:ilvl w:val="1"/>
          <w:numId w:val="1"/>
        </w:numPr>
        <w:tabs>
          <w:tab w:val="clear" w:pos="1140"/>
          <w:tab w:val="num" w:pos="0"/>
        </w:tabs>
        <w:spacing w:after="0" w:line="240" w:lineRule="auto"/>
        <w:ind w:left="0"/>
        <w:jc w:val="both"/>
        <w:rPr>
          <w:rStyle w:val="gwp8841ae70size"/>
          <w:rFonts w:ascii="Times New Roman" w:hAnsi="Times New Roman"/>
          <w:noProof w:val="0"/>
          <w:lang w:eastAsia="pl-PL"/>
        </w:rPr>
      </w:pPr>
      <w:r>
        <w:rPr>
          <w:rStyle w:val="gwp8841ae70size"/>
          <w:rFonts w:ascii="Times New Roman" w:hAnsi="Times New Roman"/>
          <w:color w:val="000000"/>
        </w:rPr>
        <w:t xml:space="preserve">W celu dokonania prawidłowej weryfikacji, czy dana nieruchomość spełnia przesłanki przekształcenia z mocy prawa, w odniesieniu do gruntów spółdzielczych i deweloperskich, zaleca się, aby spółdzielnie mieszkaniowe i deweloperzy składali pisemną informację o liczbie wszystkich lokali  znajdujących się w danym budynku posadowionym na ww. gruncie (nie tylko wyodrębnionych na własność), ze wskazaniem osobno liczby lokali mieszkalnych oraz niemieszkalnych. </w:t>
      </w:r>
    </w:p>
    <w:p w14:paraId="483D7AEA" w14:textId="77777777" w:rsidR="00910E3E" w:rsidRPr="00767EC5" w:rsidRDefault="00910E3E" w:rsidP="001E0536">
      <w:pPr>
        <w:numPr>
          <w:ilvl w:val="1"/>
          <w:numId w:val="1"/>
        </w:numPr>
        <w:tabs>
          <w:tab w:val="clear" w:pos="114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noProof w:val="0"/>
          <w:lang w:eastAsia="pl-PL"/>
        </w:rPr>
      </w:pPr>
      <w:r w:rsidRPr="00767EC5">
        <w:rPr>
          <w:rFonts w:ascii="Times New Roman" w:hAnsi="Times New Roman"/>
          <w:noProof w:val="0"/>
          <w:lang w:eastAsia="pl-PL"/>
        </w:rPr>
        <w:t xml:space="preserve">Prezydent Miasta Łodzi będzie wydawał zaświadczenia potwierdzające fakt przekształcenia </w:t>
      </w:r>
      <w:r>
        <w:rPr>
          <w:rFonts w:ascii="Times New Roman" w:hAnsi="Times New Roman"/>
          <w:noProof w:val="0"/>
          <w:lang w:eastAsia="pl-PL"/>
        </w:rPr>
        <w:t xml:space="preserve">prawa użytkowania wieczystego w prawo własności nieruchomości </w:t>
      </w:r>
      <w:r w:rsidRPr="00767EC5">
        <w:rPr>
          <w:rFonts w:ascii="Times New Roman" w:hAnsi="Times New Roman"/>
          <w:noProof w:val="0"/>
          <w:lang w:eastAsia="pl-PL"/>
        </w:rPr>
        <w:t xml:space="preserve">w ciągu 12 miesięcy od dnia przekształcenia. Do przekształcenia dojdzie z mocy prawa, nie trzeba składać wniosku. Jeśli jednak zostanie złożony wniosek o wydanie zaświadczenia, to konieczne jest załączenie dowodu uiszczenia opłaty skarbowej </w:t>
      </w:r>
      <w:r w:rsidRPr="008E2BBA">
        <w:rPr>
          <w:rFonts w:ascii="Times New Roman" w:hAnsi="Times New Roman"/>
          <w:b/>
          <w:noProof w:val="0"/>
          <w:u w:val="single"/>
          <w:lang w:eastAsia="pl-PL"/>
        </w:rPr>
        <w:t>w wysokości 50 zł</w:t>
      </w:r>
      <w:r w:rsidRPr="00767EC5">
        <w:rPr>
          <w:rFonts w:ascii="Times New Roman" w:hAnsi="Times New Roman"/>
          <w:noProof w:val="0"/>
          <w:lang w:eastAsia="pl-PL"/>
        </w:rPr>
        <w:t xml:space="preserve"> </w:t>
      </w:r>
      <w:r w:rsidRPr="00767EC5">
        <w:rPr>
          <w:rFonts w:ascii="Times New Roman" w:hAnsi="Times New Roman"/>
        </w:rPr>
        <w:t>na rachunek Urzędu Miasta Łodzi nr 08 1560 0013 2025 0305 5133 0016.</w:t>
      </w:r>
      <w:r>
        <w:rPr>
          <w:rFonts w:ascii="Times New Roman" w:hAnsi="Times New Roman"/>
        </w:rPr>
        <w:t xml:space="preserve"> Brak wniesienia tej opłaty spowoduje pozostawienie wniosku bez rozpoznania. Jeśli wnioskodawca jest reprezentowany przez pełnomocnika,</w:t>
      </w:r>
      <w:r w:rsidRPr="00767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wyżej wymienionego wniosku o wydanie zaświadczenia </w:t>
      </w:r>
      <w:r w:rsidRPr="001B0E13">
        <w:rPr>
          <w:rFonts w:ascii="Times New Roman" w:hAnsi="Times New Roman"/>
        </w:rPr>
        <w:t xml:space="preserve">należy dołączyć </w:t>
      </w:r>
      <w:r>
        <w:rPr>
          <w:rFonts w:ascii="Times New Roman" w:hAnsi="Times New Roman"/>
        </w:rPr>
        <w:t xml:space="preserve">dodatkowo </w:t>
      </w:r>
      <w:r w:rsidRPr="00767EC5">
        <w:rPr>
          <w:rFonts w:ascii="Times New Roman" w:hAnsi="Times New Roman"/>
        </w:rPr>
        <w:t>dowód uiszczenia opłaty skarbowej w wysokości 17 zł</w:t>
      </w:r>
      <w:r>
        <w:rPr>
          <w:rFonts w:ascii="Times New Roman" w:hAnsi="Times New Roman"/>
        </w:rPr>
        <w:t xml:space="preserve"> na ww. </w:t>
      </w:r>
      <w:r w:rsidRPr="001B0E13">
        <w:rPr>
          <w:rFonts w:ascii="Times New Roman" w:hAnsi="Times New Roman"/>
        </w:rPr>
        <w:t xml:space="preserve">rachunek </w:t>
      </w:r>
      <w:r>
        <w:rPr>
          <w:rFonts w:ascii="Times New Roman" w:hAnsi="Times New Roman"/>
        </w:rPr>
        <w:t>– o ile nie jest to pełnomocnictwo notarialne i/lub nie zostało udzielone małżonkowi, wstępnemu, zstępnemu lub rodzeństwu.</w:t>
      </w:r>
    </w:p>
    <w:p w14:paraId="79A131FB" w14:textId="77777777" w:rsidR="00910E3E" w:rsidRPr="00767EC5" w:rsidRDefault="00910E3E" w:rsidP="005A57D5">
      <w:pPr>
        <w:numPr>
          <w:ilvl w:val="1"/>
          <w:numId w:val="1"/>
        </w:numPr>
        <w:tabs>
          <w:tab w:val="clear" w:pos="114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noProof w:val="0"/>
          <w:lang w:eastAsia="pl-PL"/>
        </w:rPr>
      </w:pPr>
      <w:r w:rsidRPr="00767EC5">
        <w:rPr>
          <w:rFonts w:ascii="Times New Roman" w:hAnsi="Times New Roman"/>
          <w:bCs/>
        </w:rPr>
        <w:t>Zgodnie z nową ustawą przekształcenie będzie odpłatne. Właściciele będą musieli wnosić roczną opłatę za przekształcenie przez 20 lat. Wysokość opłaty będzie równa opłacie rocznej za użytkowanie wieczyste, obowiązującej w dniu przekształcenia lub docelowej (najwyższej) wysokości opłaty, jeśli w okresie trzech ostatnich lat była dokonana aktualizacja.</w:t>
      </w:r>
      <w:r w:rsidRPr="00767EC5">
        <w:rPr>
          <w:rFonts w:ascii="Times New Roman" w:hAnsi="Times New Roman"/>
          <w:noProof w:val="0"/>
          <w:lang w:eastAsia="pl-PL"/>
        </w:rPr>
        <w:t xml:space="preserve"> </w:t>
      </w:r>
    </w:p>
    <w:p w14:paraId="38075542" w14:textId="77777777" w:rsidR="00910E3E" w:rsidRPr="00767EC5" w:rsidRDefault="00910E3E" w:rsidP="001E0536">
      <w:pPr>
        <w:numPr>
          <w:ilvl w:val="1"/>
          <w:numId w:val="1"/>
        </w:numPr>
        <w:tabs>
          <w:tab w:val="clear" w:pos="114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noProof w:val="0"/>
          <w:lang w:eastAsia="pl-PL"/>
        </w:rPr>
      </w:pPr>
      <w:r w:rsidRPr="00767EC5">
        <w:rPr>
          <w:rFonts w:ascii="Times New Roman" w:hAnsi="Times New Roman"/>
          <w:bCs/>
        </w:rPr>
        <w:t>W zaświadczeniu z</w:t>
      </w:r>
      <w:r w:rsidRPr="00767EC5">
        <w:rPr>
          <w:rFonts w:ascii="Times New Roman" w:hAnsi="Times New Roman"/>
        </w:rPr>
        <w:t xml:space="preserve">najdą się informacje o wysokości </w:t>
      </w:r>
      <w:r>
        <w:rPr>
          <w:rFonts w:ascii="Times New Roman" w:hAnsi="Times New Roman"/>
        </w:rPr>
        <w:t>i okresie wnoszenia rocznej opłaty za przekształcenie</w:t>
      </w:r>
      <w:r w:rsidRPr="00767EC5">
        <w:rPr>
          <w:rFonts w:ascii="Times New Roman" w:hAnsi="Times New Roman"/>
        </w:rPr>
        <w:t xml:space="preserve"> i numerze rachunku bankowego, na który należy ją wpłacić. Zaświadczenie zostanie przekazane sądowi wieczystoksięgowemu, który w dziale III wpisze roszczenie o opłatę za przekształcenie, a także do </w:t>
      </w:r>
      <w:r w:rsidRPr="00767EC5">
        <w:rPr>
          <w:rFonts w:ascii="Times New Roman" w:hAnsi="Times New Roman"/>
          <w:bCs/>
        </w:rPr>
        <w:t>Łódzkiego Ośrodka Geodezji i Wydziału Finansowego</w:t>
      </w:r>
      <w:r>
        <w:rPr>
          <w:rFonts w:ascii="Times New Roman" w:hAnsi="Times New Roman"/>
          <w:bCs/>
        </w:rPr>
        <w:t xml:space="preserve"> Urzędu Miasta Łodzi</w:t>
      </w:r>
      <w:r w:rsidRPr="00767EC5">
        <w:rPr>
          <w:rFonts w:ascii="Times New Roman" w:hAnsi="Times New Roman"/>
          <w:bCs/>
        </w:rPr>
        <w:t>.</w:t>
      </w:r>
    </w:p>
    <w:p w14:paraId="0C5E8E2F" w14:textId="74E69E5A" w:rsidR="00910E3E" w:rsidRPr="00912923" w:rsidRDefault="00910E3E" w:rsidP="001E0536">
      <w:pPr>
        <w:numPr>
          <w:ilvl w:val="1"/>
          <w:numId w:val="1"/>
        </w:numPr>
        <w:tabs>
          <w:tab w:val="clear" w:pos="114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noProof w:val="0"/>
          <w:lang w:eastAsia="pl-PL"/>
        </w:rPr>
      </w:pPr>
      <w:r w:rsidRPr="00767EC5">
        <w:rPr>
          <w:rFonts w:ascii="Times New Roman" w:hAnsi="Times New Roman"/>
        </w:rPr>
        <w:t xml:space="preserve">Właściciel gruntu może w każdym czasie trwania obowiązku wnoszenia opłaty zgłosić do Urzędu zamiar </w:t>
      </w:r>
      <w:r w:rsidRPr="00767EC5">
        <w:rPr>
          <w:rFonts w:ascii="Times New Roman" w:hAnsi="Times New Roman"/>
          <w:b/>
          <w:u w:val="single"/>
        </w:rPr>
        <w:t>jednorazowego</w:t>
      </w:r>
      <w:r w:rsidRPr="00767EC5">
        <w:rPr>
          <w:rFonts w:ascii="Times New Roman" w:hAnsi="Times New Roman"/>
        </w:rPr>
        <w:t xml:space="preserve"> jej wniesienia na piśmie. </w:t>
      </w:r>
      <w:r w:rsidRPr="00767EC5">
        <w:rPr>
          <w:rFonts w:ascii="Times New Roman" w:hAnsi="Times New Roman"/>
          <w:bCs/>
        </w:rPr>
        <w:t xml:space="preserve">Z tego tytułu </w:t>
      </w:r>
      <w:r>
        <w:rPr>
          <w:rFonts w:ascii="Times New Roman" w:hAnsi="Times New Roman"/>
          <w:bCs/>
        </w:rPr>
        <w:t>Miasto przewidziało</w:t>
      </w:r>
      <w:r w:rsidRPr="00767EC5">
        <w:rPr>
          <w:rFonts w:ascii="Times New Roman" w:hAnsi="Times New Roman"/>
          <w:bCs/>
        </w:rPr>
        <w:t xml:space="preserve"> bonifikaty dla </w:t>
      </w:r>
      <w:r w:rsidRPr="00767EC5">
        <w:rPr>
          <w:rFonts w:ascii="Times New Roman" w:hAnsi="Times New Roman"/>
        </w:rPr>
        <w:t>osób fizycznych będących właścicielami lokali mieszkalnych i domów jednorodzinnych oraz spółdzielni mieszkaniowych (dotyczy części mieszkalnej). Jeśli opłata jednorazowa zostanie wniesiona w 2019 r.</w:t>
      </w:r>
      <w:r w:rsidR="00597AF3">
        <w:rPr>
          <w:rFonts w:ascii="Times New Roman" w:hAnsi="Times New Roman"/>
        </w:rPr>
        <w:t xml:space="preserve">, </w:t>
      </w:r>
      <w:r w:rsidR="00597AF3" w:rsidRPr="00797EFC">
        <w:rPr>
          <w:rFonts w:ascii="Times New Roman" w:hAnsi="Times New Roman"/>
        </w:rPr>
        <w:t xml:space="preserve">2020 r. bądź 2021 r. </w:t>
      </w:r>
      <w:r w:rsidRPr="00767EC5">
        <w:rPr>
          <w:rFonts w:ascii="Times New Roman" w:hAnsi="Times New Roman"/>
        </w:rPr>
        <w:t>, to bonifikata wyniesie 60%. W każdym kolejnym roku wysokość bonifikaty będzie spadać o 10%. Warunkiem udzielenia bonifikaty będzie brak zaległości</w:t>
      </w:r>
      <w:r w:rsidRPr="00767EC5">
        <w:rPr>
          <w:rFonts w:ascii="Times New Roman" w:hAnsi="Times New Roman"/>
          <w:noProof w:val="0"/>
          <w:lang w:eastAsia="pl-PL"/>
        </w:rPr>
        <w:t xml:space="preserve"> </w:t>
      </w:r>
      <w:r>
        <w:rPr>
          <w:rFonts w:ascii="Times New Roman" w:hAnsi="Times New Roman"/>
          <w:noProof w:val="0"/>
          <w:lang w:eastAsia="pl-PL"/>
        </w:rPr>
        <w:t xml:space="preserve">wobec Miasta Łodzi </w:t>
      </w:r>
      <w:r w:rsidRPr="00767EC5">
        <w:rPr>
          <w:rFonts w:ascii="Times New Roman" w:hAnsi="Times New Roman"/>
        </w:rPr>
        <w:t xml:space="preserve">z tytułu </w:t>
      </w:r>
      <w:r w:rsidRPr="00767EC5">
        <w:rPr>
          <w:rFonts w:ascii="Times New Roman" w:hAnsi="Times New Roman"/>
        </w:rPr>
        <w:lastRenderedPageBreak/>
        <w:t xml:space="preserve">podatku od nieruchomości, rocznej opłaty za użytkowanie wieczyste, opłaty za gospodarowanie odpadami komunalnymi, a po 2019 r. </w:t>
      </w:r>
      <w:r w:rsidRPr="00912923">
        <w:rPr>
          <w:rFonts w:ascii="Times New Roman" w:hAnsi="Times New Roman"/>
        </w:rPr>
        <w:t>również rocznej opłaty przekształceniowej, w odniesieniu do wszystkich swoich nieruchomości położonych na terenie Miasta Łodzi. Wymagane będzie także złożenie oświadczenia, że nieruchomość jest faktycznie wykorzystywana wyłącznie na zaspokojenie potrzeb mieszkaniowych</w:t>
      </w:r>
      <w:r w:rsidR="00FA5A32">
        <w:rPr>
          <w:rFonts w:ascii="Times New Roman" w:hAnsi="Times New Roman"/>
        </w:rPr>
        <w:t>,</w:t>
      </w:r>
      <w:r w:rsidRPr="00912923">
        <w:rPr>
          <w:rFonts w:ascii="Times New Roman" w:hAnsi="Times New Roman"/>
        </w:rPr>
        <w:t xml:space="preserve"> oraz że nie jest wykorzystywana do prowadzenia działalności gospodarczej. Wzór wniosku o jednorazową zapłatę dostępny jest na stronie internetowej Biuletynu Informacji Publicznej UMŁ (link do strony:</w:t>
      </w:r>
    </w:p>
    <w:p w14:paraId="2281664F" w14:textId="77777777" w:rsidR="00910E3E" w:rsidRDefault="00797EFC" w:rsidP="007E6229">
      <w:pPr>
        <w:spacing w:after="0" w:line="240" w:lineRule="auto"/>
        <w:jc w:val="both"/>
        <w:rPr>
          <w:rFonts w:ascii="Times New Roman" w:hAnsi="Times New Roman"/>
          <w:i/>
        </w:rPr>
      </w:pPr>
      <w:hyperlink r:id="rId5" w:history="1">
        <w:r w:rsidR="00910E3E" w:rsidRPr="009E024E">
          <w:rPr>
            <w:rStyle w:val="Hipercze"/>
            <w:rFonts w:ascii="Times New Roman" w:hAnsi="Times New Roman"/>
            <w:i/>
          </w:rPr>
          <w:t>https://uml.lodz.pl/aktualnosci/artykul/uzytkowanie-wieczyste-przeksztalcilo-sie-we-wlasnosc-w-lodzi-bonifikata-60-procent-id25281/2019/1/2/</w:t>
        </w:r>
      </w:hyperlink>
      <w:r w:rsidR="00910E3E">
        <w:rPr>
          <w:rFonts w:ascii="Times New Roman" w:hAnsi="Times New Roman"/>
          <w:i/>
        </w:rPr>
        <w:t>.</w:t>
      </w:r>
    </w:p>
    <w:p w14:paraId="593EB83E" w14:textId="1F4632DF" w:rsidR="00910E3E" w:rsidRPr="00912923" w:rsidRDefault="00910E3E" w:rsidP="007E6229">
      <w:pPr>
        <w:spacing w:after="0" w:line="240" w:lineRule="auto"/>
        <w:jc w:val="both"/>
        <w:rPr>
          <w:rFonts w:ascii="Times New Roman" w:hAnsi="Times New Roman"/>
          <w:noProof w:val="0"/>
          <w:lang w:eastAsia="pl-PL"/>
        </w:rPr>
      </w:pPr>
      <w:r w:rsidRPr="00912923">
        <w:rPr>
          <w:rFonts w:ascii="Times New Roman" w:hAnsi="Times New Roman"/>
        </w:rPr>
        <w:t xml:space="preserve">Informację o braku zaległości można </w:t>
      </w:r>
      <w:r w:rsidR="00FA5A32">
        <w:rPr>
          <w:rFonts w:ascii="Times New Roman" w:hAnsi="Times New Roman"/>
        </w:rPr>
        <w:t>ustalić w Wydziale Finansowym przy</w:t>
      </w:r>
      <w:r w:rsidRPr="00912923">
        <w:rPr>
          <w:rFonts w:ascii="Times New Roman" w:hAnsi="Times New Roman"/>
        </w:rPr>
        <w:t xml:space="preserve"> ul. Sienkiewicza 5 w pokoju nr 004.</w:t>
      </w:r>
    </w:p>
    <w:p w14:paraId="562F10AB" w14:textId="77777777" w:rsidR="00910E3E" w:rsidRPr="00912923" w:rsidRDefault="00910E3E" w:rsidP="001E0536">
      <w:pPr>
        <w:spacing w:after="0" w:line="240" w:lineRule="auto"/>
        <w:ind w:left="-360"/>
        <w:jc w:val="both"/>
        <w:rPr>
          <w:rFonts w:ascii="Times New Roman" w:hAnsi="Times New Roman"/>
        </w:rPr>
      </w:pPr>
    </w:p>
    <w:p w14:paraId="669F4A68" w14:textId="77777777" w:rsidR="00910E3E" w:rsidRPr="00912923" w:rsidRDefault="00910E3E" w:rsidP="001E0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12923">
        <w:rPr>
          <w:rFonts w:ascii="Times New Roman" w:hAnsi="Times New Roman"/>
          <w:b/>
        </w:rPr>
        <w:t>Termin załatwienia sprawy</w:t>
      </w:r>
    </w:p>
    <w:p w14:paraId="07F67344" w14:textId="77777777" w:rsidR="00910E3E" w:rsidRPr="00912923" w:rsidRDefault="00910E3E" w:rsidP="001E0536">
      <w:pPr>
        <w:spacing w:after="0" w:line="240" w:lineRule="auto"/>
        <w:jc w:val="both"/>
        <w:rPr>
          <w:rFonts w:ascii="Times New Roman" w:hAnsi="Times New Roman"/>
        </w:rPr>
      </w:pPr>
    </w:p>
    <w:p w14:paraId="14B0B85F" w14:textId="77777777" w:rsidR="00910E3E" w:rsidRPr="00767EC5" w:rsidRDefault="00910E3E" w:rsidP="001E0536">
      <w:pPr>
        <w:spacing w:after="0" w:line="240" w:lineRule="auto"/>
        <w:ind w:left="60"/>
        <w:jc w:val="both"/>
        <w:rPr>
          <w:rFonts w:ascii="Times New Roman" w:hAnsi="Times New Roman"/>
        </w:rPr>
      </w:pPr>
      <w:r w:rsidRPr="00912923">
        <w:rPr>
          <w:rFonts w:ascii="Times New Roman" w:hAnsi="Times New Roman"/>
        </w:rPr>
        <w:t xml:space="preserve">Zaświadczenia o przekształceniu będą wydawane w ciągu 12 miesięcy od daty przekształcenia, a w przypadku wystąpienia z wnioskiem o wydanie zaświadczenia, w terminie 4 miesięcy lub 30 dni od złożenia wniosku (termin skrócony, tj. 30 dni na wydanie zaświadczenia dotyczy sytuacji, gdy zachodzi </w:t>
      </w:r>
      <w:r w:rsidRPr="00912923">
        <w:rPr>
          <w:rFonts w:ascii="Times New Roman" w:hAnsi="Times New Roman"/>
          <w:b/>
          <w:u w:val="single"/>
        </w:rPr>
        <w:t>uzasadniona</w:t>
      </w:r>
      <w:r w:rsidRPr="00912923">
        <w:rPr>
          <w:rFonts w:ascii="Times New Roman" w:hAnsi="Times New Roman"/>
        </w:rPr>
        <w:t xml:space="preserve"> potrzeba dokonania czynności cywilnoprawnej dotyczącej lokalu). Jeżeli nie będą spełnione przesłanki ustawowe do przekształcenia, wniosek</w:t>
      </w:r>
      <w:r w:rsidRPr="00767EC5">
        <w:rPr>
          <w:rFonts w:ascii="Times New Roman" w:hAnsi="Times New Roman"/>
        </w:rPr>
        <w:t xml:space="preserve"> zostanie </w:t>
      </w:r>
      <w:r>
        <w:rPr>
          <w:rFonts w:ascii="Times New Roman" w:hAnsi="Times New Roman"/>
        </w:rPr>
        <w:t>rozpatrzony</w:t>
      </w:r>
      <w:r w:rsidRPr="00767EC5">
        <w:rPr>
          <w:rFonts w:ascii="Times New Roman" w:hAnsi="Times New Roman"/>
        </w:rPr>
        <w:t xml:space="preserve"> negatywnie – poprzez wydanie postanowienia o odmowie wydania zaświadczenia.</w:t>
      </w:r>
    </w:p>
    <w:p w14:paraId="5A9DBE9F" w14:textId="77777777" w:rsidR="00910E3E" w:rsidRPr="00767EC5" w:rsidRDefault="00910E3E" w:rsidP="001E0536">
      <w:pPr>
        <w:spacing w:after="0" w:line="240" w:lineRule="auto"/>
        <w:jc w:val="both"/>
        <w:rPr>
          <w:rFonts w:ascii="Times New Roman" w:hAnsi="Times New Roman"/>
        </w:rPr>
      </w:pPr>
    </w:p>
    <w:p w14:paraId="70A6B6BF" w14:textId="77777777" w:rsidR="00910E3E" w:rsidRPr="00767EC5" w:rsidRDefault="00910E3E" w:rsidP="001E0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67EC5">
        <w:rPr>
          <w:rFonts w:ascii="Times New Roman" w:hAnsi="Times New Roman"/>
          <w:b/>
        </w:rPr>
        <w:t>Opłata za przekształcenie</w:t>
      </w:r>
    </w:p>
    <w:p w14:paraId="46BDA72F" w14:textId="77777777" w:rsidR="00910E3E" w:rsidRPr="00767EC5" w:rsidRDefault="00910E3E" w:rsidP="000B761B">
      <w:pPr>
        <w:spacing w:after="0" w:line="240" w:lineRule="auto"/>
        <w:ind w:left="60"/>
        <w:jc w:val="both"/>
        <w:rPr>
          <w:rFonts w:ascii="Times New Roman" w:hAnsi="Times New Roman"/>
          <w:b/>
        </w:rPr>
      </w:pPr>
    </w:p>
    <w:p w14:paraId="74C3A231" w14:textId="3E6011D3" w:rsidR="00910E3E" w:rsidRPr="006E5EB3" w:rsidRDefault="00910E3E" w:rsidP="00FC1CA0">
      <w:pPr>
        <w:pStyle w:val="Tekstpodstawowy"/>
        <w:spacing w:after="0"/>
        <w:ind w:right="-108" w:firstLine="567"/>
        <w:jc w:val="both"/>
        <w:rPr>
          <w:rFonts w:ascii="Times New Roman" w:hAnsi="Times New Roman"/>
          <w:sz w:val="22"/>
          <w:szCs w:val="22"/>
        </w:rPr>
      </w:pPr>
      <w:r w:rsidRPr="005406DB">
        <w:rPr>
          <w:rFonts w:ascii="Times New Roman" w:hAnsi="Times New Roman"/>
          <w:sz w:val="22"/>
          <w:szCs w:val="22"/>
        </w:rPr>
        <w:t>Opłata za przekształcenie będzie wnoszona przez 20 lat. Opłatę za 2019 r. należy wnieść najpóźniej do 29 lutego 2020 r.,</w:t>
      </w:r>
      <w:r w:rsidR="00237B2F">
        <w:rPr>
          <w:rFonts w:ascii="Times New Roman" w:hAnsi="Times New Roman"/>
          <w:sz w:val="22"/>
          <w:szCs w:val="22"/>
        </w:rPr>
        <w:t xml:space="preserve"> </w:t>
      </w:r>
      <w:r w:rsidR="00237B2F" w:rsidRPr="006E5EB3">
        <w:rPr>
          <w:rFonts w:ascii="Times New Roman" w:hAnsi="Times New Roman"/>
          <w:b/>
          <w:sz w:val="22"/>
          <w:szCs w:val="22"/>
        </w:rPr>
        <w:t>za 2020 r. najpóźniej do 30 czerwca 2020 r.</w:t>
      </w:r>
      <w:r w:rsidR="00237B2F" w:rsidRPr="006E5EB3">
        <w:rPr>
          <w:rFonts w:ascii="Times New Roman" w:hAnsi="Times New Roman"/>
          <w:sz w:val="22"/>
          <w:szCs w:val="22"/>
        </w:rPr>
        <w:t>,</w:t>
      </w:r>
      <w:r w:rsidRPr="006E5EB3">
        <w:rPr>
          <w:rFonts w:ascii="Times New Roman" w:hAnsi="Times New Roman"/>
          <w:sz w:val="22"/>
          <w:szCs w:val="22"/>
        </w:rPr>
        <w:t xml:space="preserve"> natomiast za kolejne lata do 31</w:t>
      </w:r>
      <w:r w:rsidR="00237B2F" w:rsidRPr="006E5EB3">
        <w:rPr>
          <w:rFonts w:ascii="Times New Roman" w:hAnsi="Times New Roman"/>
          <w:sz w:val="22"/>
          <w:szCs w:val="22"/>
        </w:rPr>
        <w:t xml:space="preserve"> marca każdego roku, tj. za 2021</w:t>
      </w:r>
      <w:r w:rsidRPr="006E5EB3">
        <w:rPr>
          <w:rFonts w:ascii="Times New Roman" w:hAnsi="Times New Roman"/>
          <w:sz w:val="22"/>
          <w:szCs w:val="22"/>
        </w:rPr>
        <w:t xml:space="preserve"> rok do 31 marca </w:t>
      </w:r>
      <w:r w:rsidR="00237B2F" w:rsidRPr="006E5EB3">
        <w:rPr>
          <w:rFonts w:ascii="Times New Roman" w:hAnsi="Times New Roman"/>
          <w:sz w:val="22"/>
          <w:szCs w:val="22"/>
        </w:rPr>
        <w:t>2021 r., za 202</w:t>
      </w:r>
      <w:r w:rsidR="00237B2F" w:rsidRPr="00797EFC">
        <w:rPr>
          <w:rFonts w:ascii="Times New Roman" w:hAnsi="Times New Roman"/>
          <w:sz w:val="22"/>
          <w:szCs w:val="22"/>
        </w:rPr>
        <w:t>2</w:t>
      </w:r>
      <w:r w:rsidR="00237B2F" w:rsidRPr="006E5EB3">
        <w:rPr>
          <w:rFonts w:ascii="Times New Roman" w:hAnsi="Times New Roman"/>
          <w:sz w:val="22"/>
          <w:szCs w:val="22"/>
        </w:rPr>
        <w:t xml:space="preserve"> do 31 marca 2022</w:t>
      </w:r>
      <w:r w:rsidRPr="006E5EB3">
        <w:rPr>
          <w:rFonts w:ascii="Times New Roman" w:hAnsi="Times New Roman"/>
          <w:sz w:val="22"/>
          <w:szCs w:val="22"/>
        </w:rPr>
        <w:t xml:space="preserve"> r. itd. </w:t>
      </w:r>
    </w:p>
    <w:p w14:paraId="10323621" w14:textId="77777777" w:rsidR="00910E3E" w:rsidRPr="005406DB" w:rsidRDefault="00910E3E" w:rsidP="00FC1CA0">
      <w:pPr>
        <w:spacing w:after="0" w:line="240" w:lineRule="auto"/>
        <w:ind w:right="-108" w:firstLine="567"/>
        <w:jc w:val="both"/>
        <w:rPr>
          <w:rFonts w:ascii="Times New Roman" w:hAnsi="Times New Roman"/>
        </w:rPr>
      </w:pPr>
      <w:r w:rsidRPr="005406DB">
        <w:rPr>
          <w:rFonts w:ascii="Times New Roman" w:hAnsi="Times New Roman"/>
        </w:rPr>
        <w:t xml:space="preserve">Zgodnie z nową ustawą opłata za przekształcenie może podlegać waloryzacji, dokonywanej </w:t>
      </w:r>
      <w:r>
        <w:rPr>
          <w:rFonts w:ascii="Times New Roman" w:hAnsi="Times New Roman"/>
        </w:rPr>
        <w:br/>
      </w:r>
      <w:r w:rsidRPr="005406DB">
        <w:rPr>
          <w:rFonts w:ascii="Times New Roman" w:hAnsi="Times New Roman"/>
        </w:rPr>
        <w:t xml:space="preserve">z urzędu lub na wniosek właściciela nieruchomości, nie częściej niż raz na 3 lata od dnia dokonania ostatniej waloryzacji. </w:t>
      </w:r>
    </w:p>
    <w:p w14:paraId="71533B12" w14:textId="66D27D57" w:rsidR="00910E3E" w:rsidRPr="008E2BBA" w:rsidRDefault="00910E3E" w:rsidP="00FC1CA0">
      <w:pPr>
        <w:pStyle w:val="Default"/>
        <w:ind w:firstLine="567"/>
        <w:jc w:val="both"/>
        <w:rPr>
          <w:b/>
          <w:sz w:val="22"/>
          <w:szCs w:val="22"/>
          <w:u w:val="single"/>
        </w:rPr>
      </w:pPr>
      <w:r w:rsidRPr="008E2BBA">
        <w:rPr>
          <w:b/>
          <w:sz w:val="22"/>
          <w:szCs w:val="22"/>
          <w:u w:val="single"/>
        </w:rPr>
        <w:t xml:space="preserve">Przedsiębiorcy (deweloperzy, spółdzielnie mieszkaniowe itd.) mają możliwość dokonania wyboru sposobu płatności za przekształcenie. </w:t>
      </w:r>
      <w:r w:rsidR="00CE4293">
        <w:rPr>
          <w:b/>
          <w:sz w:val="22"/>
          <w:szCs w:val="22"/>
          <w:u w:val="single"/>
        </w:rPr>
        <w:t>M</w:t>
      </w:r>
      <w:r w:rsidRPr="008E2BBA">
        <w:rPr>
          <w:b/>
          <w:sz w:val="22"/>
          <w:szCs w:val="22"/>
          <w:u w:val="single"/>
        </w:rPr>
        <w:t xml:space="preserve">ogą oni złożyć oświadczenie o zamiarze wnoszenia opłaty przez okres: </w:t>
      </w:r>
    </w:p>
    <w:p w14:paraId="2EBEA672" w14:textId="77777777" w:rsidR="006E5EB3" w:rsidRDefault="00910E3E" w:rsidP="006E5EB3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406DB">
        <w:rPr>
          <w:sz w:val="22"/>
          <w:szCs w:val="22"/>
        </w:rPr>
        <w:t>99 lat, licząc od dnia przekształcenia – jeżeli stawka procentowa opłaty rocznej z tytułu uż</w:t>
      </w:r>
      <w:r>
        <w:rPr>
          <w:sz w:val="22"/>
          <w:szCs w:val="22"/>
        </w:rPr>
        <w:t xml:space="preserve">ytkowania wieczystego </w:t>
      </w:r>
      <w:r w:rsidRPr="005406DB">
        <w:rPr>
          <w:sz w:val="22"/>
          <w:szCs w:val="22"/>
        </w:rPr>
        <w:t xml:space="preserve">wynosi 1% albo </w:t>
      </w:r>
    </w:p>
    <w:p w14:paraId="32FE0CB4" w14:textId="2A08CD74" w:rsidR="00910E3E" w:rsidRPr="005406DB" w:rsidRDefault="00910E3E" w:rsidP="006E5EB3">
      <w:pPr>
        <w:pStyle w:val="Default"/>
        <w:ind w:firstLine="567"/>
        <w:jc w:val="both"/>
        <w:rPr>
          <w:sz w:val="22"/>
          <w:szCs w:val="22"/>
        </w:rPr>
      </w:pPr>
      <w:r w:rsidRPr="005406DB">
        <w:rPr>
          <w:sz w:val="22"/>
          <w:szCs w:val="22"/>
        </w:rPr>
        <w:t>2) 50 lat, licząc od dnia przekształcenia – jeżeli stawka procentowa opłaty rocznej z tytułu uż</w:t>
      </w:r>
      <w:r>
        <w:rPr>
          <w:sz w:val="22"/>
          <w:szCs w:val="22"/>
        </w:rPr>
        <w:t xml:space="preserve">ytkowania wieczystego </w:t>
      </w:r>
      <w:r w:rsidRPr="005406DB">
        <w:rPr>
          <w:sz w:val="22"/>
          <w:szCs w:val="22"/>
        </w:rPr>
        <w:t xml:space="preserve">wynosi 2%, albo </w:t>
      </w:r>
    </w:p>
    <w:p w14:paraId="573A2DF4" w14:textId="77777777" w:rsidR="00910E3E" w:rsidRPr="005406DB" w:rsidRDefault="00910E3E" w:rsidP="00FC1CA0">
      <w:pPr>
        <w:spacing w:after="0" w:line="240" w:lineRule="auto"/>
        <w:ind w:right="-108" w:firstLine="567"/>
        <w:jc w:val="both"/>
        <w:rPr>
          <w:rFonts w:ascii="Times New Roman" w:hAnsi="Times New Roman"/>
        </w:rPr>
      </w:pPr>
      <w:r w:rsidRPr="005406DB">
        <w:rPr>
          <w:rFonts w:ascii="Times New Roman" w:hAnsi="Times New Roman"/>
        </w:rPr>
        <w:t>3) 33 lat, licząc od dnia przekształcenia – jeżeli stawka procentowa opłaty rocznej z tytułu użytkowania wieczystego</w:t>
      </w:r>
      <w:r>
        <w:rPr>
          <w:rFonts w:ascii="Times New Roman" w:hAnsi="Times New Roman"/>
        </w:rPr>
        <w:t xml:space="preserve"> </w:t>
      </w:r>
      <w:r w:rsidRPr="005406DB">
        <w:rPr>
          <w:rFonts w:ascii="Times New Roman" w:hAnsi="Times New Roman"/>
        </w:rPr>
        <w:t>wynosi 3%, albo</w:t>
      </w:r>
    </w:p>
    <w:p w14:paraId="6E01DE4D" w14:textId="77777777" w:rsidR="00910E3E" w:rsidRPr="005406DB" w:rsidRDefault="00910E3E" w:rsidP="00FC1CA0">
      <w:pPr>
        <w:spacing w:after="0" w:line="240" w:lineRule="auto"/>
        <w:ind w:right="-10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5406DB">
        <w:rPr>
          <w:rFonts w:ascii="Times New Roman" w:hAnsi="Times New Roman"/>
        </w:rPr>
        <w:t>w którym suma opłat nie przekroczy wartości rynkowej nieruchomości stanowiącej podstawę ustalenia opłaty rocznej z tytułu użytkowania wieczystego</w:t>
      </w:r>
      <w:r>
        <w:rPr>
          <w:rFonts w:ascii="Times New Roman" w:hAnsi="Times New Roman"/>
        </w:rPr>
        <w:t xml:space="preserve"> </w:t>
      </w:r>
      <w:r w:rsidRPr="005406DB">
        <w:rPr>
          <w:rFonts w:ascii="Times New Roman" w:hAnsi="Times New Roman"/>
        </w:rPr>
        <w:t>– jeżeli stawka procentowa opłaty rocznej z tytułu użytkowania wieczystego</w:t>
      </w:r>
      <w:r>
        <w:rPr>
          <w:rFonts w:ascii="Times New Roman" w:hAnsi="Times New Roman"/>
        </w:rPr>
        <w:t xml:space="preserve"> </w:t>
      </w:r>
      <w:r w:rsidRPr="005406DB">
        <w:rPr>
          <w:rFonts w:ascii="Times New Roman" w:hAnsi="Times New Roman"/>
        </w:rPr>
        <w:t>jest wyższa niż 3%.</w:t>
      </w:r>
    </w:p>
    <w:p w14:paraId="58BA290E" w14:textId="77777777" w:rsidR="00910E3E" w:rsidRDefault="00910E3E" w:rsidP="001E0536">
      <w:pPr>
        <w:spacing w:after="0" w:line="240" w:lineRule="auto"/>
        <w:ind w:left="60"/>
        <w:jc w:val="both"/>
        <w:rPr>
          <w:rFonts w:ascii="Times New Roman" w:hAnsi="Times New Roman"/>
        </w:rPr>
      </w:pPr>
    </w:p>
    <w:p w14:paraId="78C5EC4D" w14:textId="77777777" w:rsidR="00910E3E" w:rsidRPr="00767EC5" w:rsidRDefault="00910E3E" w:rsidP="001E0536">
      <w:pPr>
        <w:spacing w:after="0" w:line="240" w:lineRule="auto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oświadczenia o wyborze długoterminowego wnoszenia opłaty za przekształcenie również znajduje się na stronie internetowej UMŁ (link do strony powyżej).</w:t>
      </w:r>
    </w:p>
    <w:p w14:paraId="5C074D97" w14:textId="77777777" w:rsidR="00910E3E" w:rsidRPr="00767EC5" w:rsidRDefault="00910E3E" w:rsidP="001E0536">
      <w:pPr>
        <w:spacing w:after="0" w:line="240" w:lineRule="auto"/>
        <w:ind w:left="60"/>
        <w:jc w:val="both"/>
        <w:rPr>
          <w:rFonts w:ascii="Times New Roman" w:hAnsi="Times New Roman"/>
        </w:rPr>
      </w:pPr>
    </w:p>
    <w:p w14:paraId="1F38915E" w14:textId="1D0B7880" w:rsidR="00910E3E" w:rsidRPr="00767EC5" w:rsidRDefault="00910E3E" w:rsidP="001E0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67EC5">
        <w:rPr>
          <w:rFonts w:ascii="Times New Roman" w:hAnsi="Times New Roman"/>
          <w:b/>
        </w:rPr>
        <w:t>Przekształcenie według nowych zasad</w:t>
      </w:r>
      <w:r w:rsidR="00CE4293">
        <w:rPr>
          <w:rFonts w:ascii="Times New Roman" w:hAnsi="Times New Roman"/>
          <w:b/>
        </w:rPr>
        <w:t>,</w:t>
      </w:r>
      <w:r w:rsidRPr="00767EC5">
        <w:rPr>
          <w:rFonts w:ascii="Times New Roman" w:hAnsi="Times New Roman"/>
          <w:b/>
        </w:rPr>
        <w:t xml:space="preserve"> a toczące się postępowanie w sprawie przekształcenia w oparciu o przepisy ustawy z dnia 29 lipca 2005 r.</w:t>
      </w:r>
    </w:p>
    <w:p w14:paraId="582D921F" w14:textId="77777777" w:rsidR="00910E3E" w:rsidRPr="00767EC5" w:rsidRDefault="00910E3E" w:rsidP="004875AF">
      <w:pPr>
        <w:spacing w:after="0" w:line="240" w:lineRule="auto"/>
        <w:ind w:left="60"/>
        <w:jc w:val="both"/>
        <w:rPr>
          <w:rFonts w:ascii="Times New Roman" w:hAnsi="Times New Roman"/>
          <w:b/>
        </w:rPr>
      </w:pPr>
    </w:p>
    <w:p w14:paraId="674B9A55" w14:textId="18A1F889" w:rsidR="00910E3E" w:rsidRPr="00767EC5" w:rsidRDefault="00910E3E" w:rsidP="004875AF">
      <w:pPr>
        <w:spacing w:after="0" w:line="240" w:lineRule="auto"/>
        <w:ind w:left="60"/>
        <w:jc w:val="both"/>
        <w:rPr>
          <w:rFonts w:ascii="Times New Roman" w:hAnsi="Times New Roman"/>
        </w:rPr>
      </w:pPr>
      <w:r w:rsidRPr="00767EC5">
        <w:rPr>
          <w:rFonts w:ascii="Times New Roman" w:hAnsi="Times New Roman"/>
        </w:rPr>
        <w:t xml:space="preserve">Jeśli w Urzędzie Miasta Łodzi toczy się już postępowanie administracyjne w sprawie przekształcenia na podstawie ustawy z dnia 29 lipca 2005 r., Wspólnota Mieszkaniowa/Spółdzielnia Mieszkaniowa i osoby fizyczne mogą wystąpić o jego kontynuowanie na „starych” zasadach. Warunkiem uwzględnienia takiego wniosku jest wystąpienie o to do </w:t>
      </w:r>
      <w:r w:rsidRPr="00767EC5">
        <w:rPr>
          <w:rFonts w:ascii="Times New Roman" w:hAnsi="Times New Roman"/>
          <w:b/>
          <w:u w:val="single"/>
        </w:rPr>
        <w:t>31 marca 2019 r.</w:t>
      </w:r>
      <w:r w:rsidRPr="00767EC5">
        <w:rPr>
          <w:rFonts w:ascii="Times New Roman" w:hAnsi="Times New Roman"/>
        </w:rPr>
        <w:t xml:space="preserve"> przez użytkowników wieczystych, którym przysługuje co najmniej połowa udziałów w nieruchomości. Wówczas postępowanie będzie mogło być prowadzone jeszcze przez 3 lata, tj. do końca 2021 roku. Jeżeli użytkownicy wieczyści nie wystąpią z wnioskiem o kontynuację postępowania, to prowadzone postępowanie administracyjne zostanie umorzone. W takiej sytuacji przekształcenie nastąpi z dniem </w:t>
      </w:r>
      <w:r w:rsidR="00CE4293" w:rsidRPr="006E5EB3">
        <w:rPr>
          <w:rFonts w:ascii="Times New Roman" w:hAnsi="Times New Roman"/>
          <w:b/>
        </w:rPr>
        <w:t>1 stycznia 2022</w:t>
      </w:r>
      <w:r w:rsidRPr="006E5EB3">
        <w:rPr>
          <w:rFonts w:ascii="Times New Roman" w:hAnsi="Times New Roman"/>
          <w:b/>
        </w:rPr>
        <w:t xml:space="preserve"> r.</w:t>
      </w:r>
      <w:r w:rsidRPr="006E5EB3">
        <w:rPr>
          <w:rFonts w:ascii="Times New Roman" w:hAnsi="Times New Roman"/>
        </w:rPr>
        <w:t xml:space="preserve">, </w:t>
      </w:r>
      <w:r w:rsidRPr="00767EC5">
        <w:rPr>
          <w:rFonts w:ascii="Times New Roman" w:hAnsi="Times New Roman"/>
        </w:rPr>
        <w:t xml:space="preserve">o ile nieruchomość spełni przesłanki przekształcenia zgodnie z „nową” ustawą. </w:t>
      </w:r>
    </w:p>
    <w:p w14:paraId="5A6C9E5F" w14:textId="3D865B4E" w:rsidR="00910E3E" w:rsidRDefault="00910E3E" w:rsidP="004875AF">
      <w:pPr>
        <w:spacing w:after="0" w:line="240" w:lineRule="auto"/>
        <w:ind w:left="60"/>
        <w:jc w:val="both"/>
        <w:rPr>
          <w:rFonts w:ascii="Times New Roman" w:hAnsi="Times New Roman"/>
          <w:b/>
        </w:rPr>
      </w:pPr>
    </w:p>
    <w:p w14:paraId="6669A78F" w14:textId="7E4E0C2F" w:rsidR="00797EFC" w:rsidRDefault="00797EFC" w:rsidP="004875AF">
      <w:pPr>
        <w:spacing w:after="0" w:line="240" w:lineRule="auto"/>
        <w:ind w:left="60"/>
        <w:jc w:val="both"/>
        <w:rPr>
          <w:rFonts w:ascii="Times New Roman" w:hAnsi="Times New Roman"/>
          <w:b/>
        </w:rPr>
      </w:pPr>
    </w:p>
    <w:p w14:paraId="13367537" w14:textId="77777777" w:rsidR="00797EFC" w:rsidRPr="00767EC5" w:rsidRDefault="00797EFC" w:rsidP="004875AF">
      <w:pPr>
        <w:spacing w:after="0" w:line="240" w:lineRule="auto"/>
        <w:ind w:left="60"/>
        <w:jc w:val="both"/>
        <w:rPr>
          <w:rFonts w:ascii="Times New Roman" w:hAnsi="Times New Roman"/>
          <w:b/>
        </w:rPr>
      </w:pPr>
    </w:p>
    <w:p w14:paraId="14048725" w14:textId="77777777" w:rsidR="00910E3E" w:rsidRPr="00767EC5" w:rsidRDefault="00910E3E" w:rsidP="001E0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67EC5">
        <w:rPr>
          <w:rFonts w:ascii="Times New Roman" w:hAnsi="Times New Roman"/>
          <w:b/>
        </w:rPr>
        <w:lastRenderedPageBreak/>
        <w:t>Miejsce załatwienia sprawy</w:t>
      </w:r>
      <w:r>
        <w:rPr>
          <w:rFonts w:ascii="Times New Roman" w:hAnsi="Times New Roman"/>
          <w:b/>
        </w:rPr>
        <w:t xml:space="preserve">  </w:t>
      </w:r>
    </w:p>
    <w:p w14:paraId="0CC147BF" w14:textId="77777777" w:rsidR="00910E3E" w:rsidRPr="00767EC5" w:rsidRDefault="00910E3E" w:rsidP="001E0536">
      <w:pPr>
        <w:spacing w:after="0" w:line="240" w:lineRule="auto"/>
        <w:ind w:left="60"/>
        <w:jc w:val="both"/>
        <w:rPr>
          <w:rFonts w:ascii="Times New Roman" w:hAnsi="Times New Roman"/>
        </w:rPr>
      </w:pPr>
    </w:p>
    <w:p w14:paraId="6DEA31CA" w14:textId="0FCFF64F" w:rsidR="00910E3E" w:rsidRPr="00767EC5" w:rsidRDefault="00910E3E" w:rsidP="001E0536">
      <w:pPr>
        <w:spacing w:after="0" w:line="240" w:lineRule="auto"/>
        <w:ind w:left="60"/>
        <w:jc w:val="both"/>
        <w:rPr>
          <w:rFonts w:ascii="Times New Roman" w:hAnsi="Times New Roman"/>
        </w:rPr>
      </w:pPr>
      <w:r w:rsidRPr="00767EC5">
        <w:rPr>
          <w:rFonts w:ascii="Times New Roman" w:hAnsi="Times New Roman"/>
        </w:rPr>
        <w:t>Wydział Zbywania i Nabywania Nieruchomości w Departamencie G</w:t>
      </w:r>
      <w:r w:rsidR="00CE4293">
        <w:rPr>
          <w:rFonts w:ascii="Times New Roman" w:hAnsi="Times New Roman"/>
        </w:rPr>
        <w:t xml:space="preserve">ospodarowania Majątkiem, </w:t>
      </w:r>
      <w:r w:rsidR="00CE4293" w:rsidRPr="006E5EB3">
        <w:rPr>
          <w:rFonts w:ascii="Times New Roman" w:hAnsi="Times New Roman"/>
          <w:b/>
        </w:rPr>
        <w:t>Oddział Przekształceń</w:t>
      </w:r>
      <w:r w:rsidRPr="00767EC5">
        <w:rPr>
          <w:rFonts w:ascii="Times New Roman" w:hAnsi="Times New Roman"/>
        </w:rPr>
        <w:t>, ul. Piotrkowska 104, 90-926 Łódź (wnioski należy składać w punkcie obsługi kancelaryjnej w Centrum Zarządzania Kontaktami z Mieszkańcami przy ul. Piotrkowskiej 110 w pasażu Schillera lub wysłać pocztą na adres Wydziału Zbywania i Nabywania Nieruchomości).</w:t>
      </w:r>
    </w:p>
    <w:p w14:paraId="4C85168E" w14:textId="77777777" w:rsidR="00910E3E" w:rsidRPr="00767EC5" w:rsidRDefault="00910E3E" w:rsidP="001E0536">
      <w:pPr>
        <w:spacing w:after="0" w:line="240" w:lineRule="auto"/>
        <w:ind w:left="60"/>
        <w:jc w:val="both"/>
        <w:rPr>
          <w:rFonts w:ascii="Times New Roman" w:hAnsi="Times New Roman"/>
        </w:rPr>
      </w:pPr>
    </w:p>
    <w:p w14:paraId="28BF2F50" w14:textId="77777777" w:rsidR="00910E3E" w:rsidRPr="00767EC5" w:rsidRDefault="00910E3E" w:rsidP="001E0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67EC5">
        <w:rPr>
          <w:rFonts w:ascii="Times New Roman" w:hAnsi="Times New Roman"/>
          <w:b/>
        </w:rPr>
        <w:t>Tryb odwoławczy</w:t>
      </w:r>
    </w:p>
    <w:p w14:paraId="4986CEDA" w14:textId="77777777" w:rsidR="00910E3E" w:rsidRPr="00767EC5" w:rsidRDefault="00910E3E" w:rsidP="001E0536">
      <w:pPr>
        <w:spacing w:after="0" w:line="240" w:lineRule="auto"/>
        <w:ind w:left="60"/>
        <w:jc w:val="both"/>
        <w:rPr>
          <w:rFonts w:ascii="Times New Roman" w:hAnsi="Times New Roman"/>
          <w:b/>
        </w:rPr>
      </w:pPr>
    </w:p>
    <w:p w14:paraId="53BA6347" w14:textId="25EFDE28" w:rsidR="00910E3E" w:rsidRPr="00767EC5" w:rsidRDefault="00910E3E" w:rsidP="001E0536">
      <w:pPr>
        <w:spacing w:after="0" w:line="240" w:lineRule="auto"/>
        <w:ind w:left="60"/>
        <w:jc w:val="both"/>
        <w:rPr>
          <w:rFonts w:ascii="Times New Roman" w:hAnsi="Times New Roman"/>
        </w:rPr>
      </w:pPr>
      <w:r w:rsidRPr="00767EC5">
        <w:rPr>
          <w:rFonts w:ascii="Times New Roman" w:hAnsi="Times New Roman"/>
        </w:rPr>
        <w:t>Nowa ustawa nie przewiduje możliwości wniesienia odwołania</w:t>
      </w:r>
      <w:r w:rsidR="00CE4293">
        <w:rPr>
          <w:rFonts w:ascii="Times New Roman" w:hAnsi="Times New Roman"/>
        </w:rPr>
        <w:t>,</w:t>
      </w:r>
      <w:r w:rsidRPr="00767EC5">
        <w:rPr>
          <w:rFonts w:ascii="Times New Roman" w:hAnsi="Times New Roman"/>
        </w:rPr>
        <w:t xml:space="preserve"> czy zażalenia od zaświadczenia o</w:t>
      </w:r>
      <w:r w:rsidR="00797EFC">
        <w:rPr>
          <w:rFonts w:ascii="Times New Roman" w:hAnsi="Times New Roman"/>
        </w:rPr>
        <w:t> </w:t>
      </w:r>
      <w:r w:rsidRPr="00767EC5">
        <w:rPr>
          <w:rFonts w:ascii="Times New Roman" w:hAnsi="Times New Roman"/>
        </w:rPr>
        <w:t>przekształceniu. Jeśli natomiast właściciel gruntu nie zgadza się z zawartą w zaświadczeniu informacją o wysokości i okresie wnoszenia opłaty, może złożyć wniosek o ustalenie wysokości lub okresu wnoszenia tej opłaty w drodze decyzji w ciągu 2 miesięcy od dnia doręczenia zaświadczenia.</w:t>
      </w:r>
    </w:p>
    <w:p w14:paraId="307F6BB8" w14:textId="77777777" w:rsidR="00910E3E" w:rsidRPr="00767EC5" w:rsidRDefault="00910E3E" w:rsidP="001E0536">
      <w:pPr>
        <w:spacing w:after="0" w:line="240" w:lineRule="auto"/>
        <w:ind w:left="60"/>
        <w:jc w:val="both"/>
        <w:rPr>
          <w:rFonts w:ascii="Times New Roman" w:hAnsi="Times New Roman"/>
        </w:rPr>
      </w:pPr>
    </w:p>
    <w:p w14:paraId="23542BEA" w14:textId="77777777" w:rsidR="00910E3E" w:rsidRPr="00767EC5" w:rsidRDefault="00910E3E" w:rsidP="001E05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67EC5">
        <w:rPr>
          <w:rFonts w:ascii="Times New Roman" w:hAnsi="Times New Roman"/>
          <w:b/>
        </w:rPr>
        <w:t>Podstawa prawna</w:t>
      </w:r>
    </w:p>
    <w:p w14:paraId="6F258114" w14:textId="77777777" w:rsidR="00910E3E" w:rsidRPr="00767EC5" w:rsidRDefault="00910E3E" w:rsidP="001E0536">
      <w:pPr>
        <w:spacing w:after="0" w:line="240" w:lineRule="auto"/>
        <w:ind w:left="60"/>
        <w:jc w:val="both"/>
        <w:rPr>
          <w:rFonts w:ascii="Times New Roman" w:hAnsi="Times New Roman"/>
          <w:b/>
        </w:rPr>
      </w:pPr>
    </w:p>
    <w:p w14:paraId="75049FFA" w14:textId="2BB3A9DF" w:rsidR="006E5EB3" w:rsidRDefault="00910E3E" w:rsidP="006E5EB3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E5EB3">
        <w:rPr>
          <w:rFonts w:ascii="Times New Roman" w:hAnsi="Times New Roman"/>
          <w:color w:val="000000"/>
        </w:rPr>
        <w:t xml:space="preserve">ustawa </w:t>
      </w:r>
      <w:r w:rsidRPr="006E5EB3">
        <w:rPr>
          <w:rFonts w:ascii="Times New Roman" w:hAnsi="Times New Roman"/>
        </w:rPr>
        <w:t>z dnia 20 lipca 2018 r. o przekształceniu prawa użytkowania wieczystego gruntów zabudowanych na cele mieszkaniowe w prawo własn</w:t>
      </w:r>
      <w:r w:rsidR="00CE4293" w:rsidRPr="006E5EB3">
        <w:rPr>
          <w:rFonts w:ascii="Times New Roman" w:hAnsi="Times New Roman"/>
        </w:rPr>
        <w:t>ości tych gruntów (</w:t>
      </w:r>
      <w:r w:rsidR="00CE4293" w:rsidRPr="006E5EB3">
        <w:rPr>
          <w:rFonts w:ascii="Times New Roman" w:hAnsi="Times New Roman"/>
          <w:b/>
        </w:rPr>
        <w:t>Dz. U. z 2020 r., poz. 2040</w:t>
      </w:r>
      <w:r w:rsidR="006E5EB3">
        <w:rPr>
          <w:rFonts w:ascii="Times New Roman" w:hAnsi="Times New Roman"/>
        </w:rPr>
        <w:t>);</w:t>
      </w:r>
    </w:p>
    <w:p w14:paraId="00CB9820" w14:textId="0E213A83" w:rsidR="00910E3E" w:rsidRPr="006E5EB3" w:rsidRDefault="00910E3E" w:rsidP="006E5EB3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E5EB3">
        <w:rPr>
          <w:rFonts w:ascii="Times New Roman" w:hAnsi="Times New Roman"/>
        </w:rPr>
        <w:t xml:space="preserve">uchwała </w:t>
      </w:r>
      <w:r w:rsidRPr="006E5EB3">
        <w:rPr>
          <w:rFonts w:ascii="Times New Roman" w:hAnsi="Times New Roman"/>
          <w:bCs/>
        </w:rPr>
        <w:t xml:space="preserve">Nr </w:t>
      </w:r>
      <w:bookmarkStart w:id="0" w:name="_GoBack"/>
      <w:r w:rsidRPr="006E5EB3">
        <w:rPr>
          <w:rFonts w:ascii="Times New Roman" w:hAnsi="Times New Roman"/>
        </w:rPr>
        <w:t xml:space="preserve">LXXIX/2119/18 </w:t>
      </w:r>
      <w:bookmarkEnd w:id="0"/>
      <w:r w:rsidRPr="006E5EB3">
        <w:rPr>
          <w:rFonts w:ascii="Times New Roman" w:hAnsi="Times New Roman"/>
          <w:bCs/>
        </w:rPr>
        <w:t xml:space="preserve">Rady Miejskiej w Łodzi z dnia 14 listopada 2018 r. w sprawie </w:t>
      </w:r>
      <w:r w:rsidRPr="006E5EB3">
        <w:rPr>
          <w:rFonts w:ascii="Times New Roman" w:hAnsi="Times New Roman"/>
        </w:rPr>
        <w:t xml:space="preserve">określenia wysokości i warunków udzielania bonifikat od opłaty jednorazowej za przekształcenie (Dz. Urz. Woj. </w:t>
      </w:r>
      <w:r w:rsidR="00797EFC">
        <w:rPr>
          <w:rFonts w:ascii="Times New Roman" w:hAnsi="Times New Roman"/>
        </w:rPr>
        <w:t>Łódzkiego z 2018 r., poz. 6359) (ze zm.).</w:t>
      </w:r>
    </w:p>
    <w:p w14:paraId="1D97ACFD" w14:textId="77777777" w:rsidR="00910E3E" w:rsidRPr="003920EA" w:rsidRDefault="00910E3E" w:rsidP="001E0536">
      <w:pPr>
        <w:jc w:val="both"/>
        <w:rPr>
          <w:rFonts w:ascii="Times New Roman" w:hAnsi="Times New Roman"/>
        </w:rPr>
      </w:pPr>
    </w:p>
    <w:sectPr w:rsidR="00910E3E" w:rsidRPr="003920EA" w:rsidSect="002172A0">
      <w:pgSz w:w="11906" w:h="16838"/>
      <w:pgMar w:top="899" w:right="128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DFA"/>
    <w:multiLevelType w:val="hybridMultilevel"/>
    <w:tmpl w:val="83B891C4"/>
    <w:lvl w:ilvl="0" w:tplc="9FB80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D71D78"/>
    <w:multiLevelType w:val="hybridMultilevel"/>
    <w:tmpl w:val="76589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911E5"/>
    <w:multiLevelType w:val="hybridMultilevel"/>
    <w:tmpl w:val="5F78E52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1360865"/>
    <w:multiLevelType w:val="hybridMultilevel"/>
    <w:tmpl w:val="814CA0E8"/>
    <w:lvl w:ilvl="0" w:tplc="30BE31A8">
      <w:start w:val="1"/>
      <w:numFmt w:val="bullet"/>
      <w:lvlText w:val="-"/>
      <w:lvlJc w:val="left"/>
      <w:pPr>
        <w:ind w:left="7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AE0322"/>
    <w:multiLevelType w:val="hybridMultilevel"/>
    <w:tmpl w:val="94C82A3C"/>
    <w:lvl w:ilvl="0" w:tplc="968AD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26666062"/>
    <w:multiLevelType w:val="multilevel"/>
    <w:tmpl w:val="F6B2B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2A472036"/>
    <w:multiLevelType w:val="multilevel"/>
    <w:tmpl w:val="7658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DD4E43"/>
    <w:multiLevelType w:val="hybridMultilevel"/>
    <w:tmpl w:val="5706E6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461CC"/>
    <w:multiLevelType w:val="multilevel"/>
    <w:tmpl w:val="5F78E5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40EF3F79"/>
    <w:multiLevelType w:val="multilevel"/>
    <w:tmpl w:val="94C82A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621915C0"/>
    <w:multiLevelType w:val="multilevel"/>
    <w:tmpl w:val="3E28FC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6670137E"/>
    <w:multiLevelType w:val="hybridMultilevel"/>
    <w:tmpl w:val="0D48072C"/>
    <w:lvl w:ilvl="0" w:tplc="26D87CC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BC"/>
    <w:rsid w:val="000117A2"/>
    <w:rsid w:val="00047A12"/>
    <w:rsid w:val="00047C21"/>
    <w:rsid w:val="000B1DF9"/>
    <w:rsid w:val="000B4A83"/>
    <w:rsid w:val="000B761B"/>
    <w:rsid w:val="000C20E7"/>
    <w:rsid w:val="000C7F3D"/>
    <w:rsid w:val="000E3682"/>
    <w:rsid w:val="00106AF7"/>
    <w:rsid w:val="001454AB"/>
    <w:rsid w:val="001514EF"/>
    <w:rsid w:val="0016792D"/>
    <w:rsid w:val="0018398E"/>
    <w:rsid w:val="001B0E13"/>
    <w:rsid w:val="001B20B9"/>
    <w:rsid w:val="001D347A"/>
    <w:rsid w:val="001D3E20"/>
    <w:rsid w:val="001E0536"/>
    <w:rsid w:val="001E37C9"/>
    <w:rsid w:val="002172A0"/>
    <w:rsid w:val="00220318"/>
    <w:rsid w:val="00221720"/>
    <w:rsid w:val="00237267"/>
    <w:rsid w:val="00237B2F"/>
    <w:rsid w:val="00297F98"/>
    <w:rsid w:val="002A78B0"/>
    <w:rsid w:val="002C42CA"/>
    <w:rsid w:val="002D7880"/>
    <w:rsid w:val="002E7AC7"/>
    <w:rsid w:val="002F7B14"/>
    <w:rsid w:val="00314338"/>
    <w:rsid w:val="00343BC4"/>
    <w:rsid w:val="003606E6"/>
    <w:rsid w:val="00361C90"/>
    <w:rsid w:val="003916BB"/>
    <w:rsid w:val="003920EA"/>
    <w:rsid w:val="00396F96"/>
    <w:rsid w:val="003B1AE9"/>
    <w:rsid w:val="003B3C8A"/>
    <w:rsid w:val="003C5D81"/>
    <w:rsid w:val="003D597F"/>
    <w:rsid w:val="003F1907"/>
    <w:rsid w:val="00407F5F"/>
    <w:rsid w:val="004844BC"/>
    <w:rsid w:val="00486211"/>
    <w:rsid w:val="004875AF"/>
    <w:rsid w:val="00492AF0"/>
    <w:rsid w:val="004B067C"/>
    <w:rsid w:val="004B62EE"/>
    <w:rsid w:val="004E0ACB"/>
    <w:rsid w:val="004E48A6"/>
    <w:rsid w:val="00501227"/>
    <w:rsid w:val="00513520"/>
    <w:rsid w:val="0053031F"/>
    <w:rsid w:val="005406DB"/>
    <w:rsid w:val="005453DF"/>
    <w:rsid w:val="00556ED4"/>
    <w:rsid w:val="00577D30"/>
    <w:rsid w:val="00596A1D"/>
    <w:rsid w:val="00597AF3"/>
    <w:rsid w:val="005A57D5"/>
    <w:rsid w:val="005A7CB8"/>
    <w:rsid w:val="005B4AC0"/>
    <w:rsid w:val="005E461B"/>
    <w:rsid w:val="006463EE"/>
    <w:rsid w:val="00650BE2"/>
    <w:rsid w:val="0065720F"/>
    <w:rsid w:val="00693F5A"/>
    <w:rsid w:val="006C1F20"/>
    <w:rsid w:val="006C6FA8"/>
    <w:rsid w:val="006C7459"/>
    <w:rsid w:val="006D0F76"/>
    <w:rsid w:val="006E5EB3"/>
    <w:rsid w:val="00701562"/>
    <w:rsid w:val="00744AC4"/>
    <w:rsid w:val="00757FE1"/>
    <w:rsid w:val="00767EC5"/>
    <w:rsid w:val="00775D10"/>
    <w:rsid w:val="00797EFC"/>
    <w:rsid w:val="007A48D1"/>
    <w:rsid w:val="007E6229"/>
    <w:rsid w:val="0085793B"/>
    <w:rsid w:val="0088381B"/>
    <w:rsid w:val="0089521F"/>
    <w:rsid w:val="00897DBB"/>
    <w:rsid w:val="008A68A6"/>
    <w:rsid w:val="008E2BBA"/>
    <w:rsid w:val="008E5F0A"/>
    <w:rsid w:val="008F1FDC"/>
    <w:rsid w:val="00910E3E"/>
    <w:rsid w:val="00912923"/>
    <w:rsid w:val="009231DC"/>
    <w:rsid w:val="00930BD1"/>
    <w:rsid w:val="009605BC"/>
    <w:rsid w:val="00974B61"/>
    <w:rsid w:val="00974D40"/>
    <w:rsid w:val="009E024E"/>
    <w:rsid w:val="00A052E9"/>
    <w:rsid w:val="00A43444"/>
    <w:rsid w:val="00A668FB"/>
    <w:rsid w:val="00A8116F"/>
    <w:rsid w:val="00A94DF8"/>
    <w:rsid w:val="00AA3B73"/>
    <w:rsid w:val="00AE4601"/>
    <w:rsid w:val="00AE4CB0"/>
    <w:rsid w:val="00AF7526"/>
    <w:rsid w:val="00B243BF"/>
    <w:rsid w:val="00B33F9F"/>
    <w:rsid w:val="00B54823"/>
    <w:rsid w:val="00B7301F"/>
    <w:rsid w:val="00B747BC"/>
    <w:rsid w:val="00BC1C88"/>
    <w:rsid w:val="00BC3E60"/>
    <w:rsid w:val="00BD7217"/>
    <w:rsid w:val="00C21BCA"/>
    <w:rsid w:val="00C64F57"/>
    <w:rsid w:val="00C9096B"/>
    <w:rsid w:val="00CC2490"/>
    <w:rsid w:val="00CE4293"/>
    <w:rsid w:val="00CF38F0"/>
    <w:rsid w:val="00D470F3"/>
    <w:rsid w:val="00D511DE"/>
    <w:rsid w:val="00D5592A"/>
    <w:rsid w:val="00D62A61"/>
    <w:rsid w:val="00D84E37"/>
    <w:rsid w:val="00D90151"/>
    <w:rsid w:val="00D90618"/>
    <w:rsid w:val="00D93510"/>
    <w:rsid w:val="00DA010B"/>
    <w:rsid w:val="00DE57E1"/>
    <w:rsid w:val="00DF5AB3"/>
    <w:rsid w:val="00E0533F"/>
    <w:rsid w:val="00E631DE"/>
    <w:rsid w:val="00E874C2"/>
    <w:rsid w:val="00E91DE3"/>
    <w:rsid w:val="00E91F1C"/>
    <w:rsid w:val="00E9645A"/>
    <w:rsid w:val="00E96F0C"/>
    <w:rsid w:val="00EA5232"/>
    <w:rsid w:val="00EC7888"/>
    <w:rsid w:val="00EE0FB0"/>
    <w:rsid w:val="00EE3F48"/>
    <w:rsid w:val="00EF365D"/>
    <w:rsid w:val="00F03D12"/>
    <w:rsid w:val="00F25EEE"/>
    <w:rsid w:val="00F27B2F"/>
    <w:rsid w:val="00F30624"/>
    <w:rsid w:val="00F415A9"/>
    <w:rsid w:val="00F51CBB"/>
    <w:rsid w:val="00F7617A"/>
    <w:rsid w:val="00F83407"/>
    <w:rsid w:val="00F83897"/>
    <w:rsid w:val="00FA5A32"/>
    <w:rsid w:val="00FC130B"/>
    <w:rsid w:val="00FC1CA0"/>
    <w:rsid w:val="00FD0BEF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529E3"/>
  <w15:docId w15:val="{30606949-5DC8-44C9-BD72-5A5572C4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12"/>
    <w:pPr>
      <w:spacing w:after="200" w:line="276" w:lineRule="auto"/>
    </w:pPr>
    <w:rPr>
      <w:noProof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960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9605B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rsid w:val="009605BC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605BC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9605BC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semiHidden/>
    <w:rsid w:val="009605BC"/>
    <w:rPr>
      <w:rFonts w:cs="Times New Roman"/>
      <w:color w:val="0000FF"/>
      <w:u w:val="single"/>
    </w:rPr>
  </w:style>
  <w:style w:type="character" w:customStyle="1" w:styleId="gwp8841ae70size">
    <w:name w:val="gwp8841ae70_size"/>
    <w:basedOn w:val="Domylnaczcionkaakapitu"/>
    <w:uiPriority w:val="99"/>
    <w:rsid w:val="00F25E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51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6F0C"/>
    <w:rPr>
      <w:rFonts w:ascii="Times New Roman" w:hAnsi="Times New Roman" w:cs="Times New Roman"/>
      <w:noProof/>
      <w:sz w:val="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9645A"/>
    <w:pPr>
      <w:spacing w:after="120" w:line="240" w:lineRule="auto"/>
    </w:pPr>
    <w:rPr>
      <w:noProof w:val="0"/>
      <w:sz w:val="20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314338"/>
    <w:rPr>
      <w:rFonts w:cs="Times New Roman"/>
      <w:noProof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E9645A"/>
    <w:rPr>
      <w:lang w:val="pl-PL" w:eastAsia="pl-PL"/>
    </w:rPr>
  </w:style>
  <w:style w:type="paragraph" w:customStyle="1" w:styleId="Default">
    <w:name w:val="Default"/>
    <w:uiPriority w:val="99"/>
    <w:rsid w:val="005406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F3"/>
    <w:rPr>
      <w:noProof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F3"/>
    <w:rPr>
      <w:b/>
      <w:bCs/>
      <w:noProof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E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l.lodz.pl/aktualnosci/artykul/uzytkowanie-wieczyste-przeksztalcilo-sie-we-wlasnosc-w-lodzi-bonifikata-60-procent-id25281/2019/1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PRZEKSZTAŁCENIE UŻYTKOWANIA WIECZYSTEGO W PRAWO WŁASNOŚCI NIERUCHOMOŚCI ZABUDOWANEJ, BĘDĄCEJ WŁASNOŚCIĄ GMINY MIASTO ŁÓDŹ, NA PODSTAWIE USTAWY Z DNIA 20 LIPCA 2018 R</vt:lpstr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PRZEKSZTAŁCENIE UŻYTKOWANIA WIECZYSTEGO W PRAWO WŁASNOŚCI NIERUCHOMOŚCI ZABUDOWANEJ, BĘDĄCEJ WŁASNOŚCIĄ GMINY MIASTO ŁÓDŹ, NA PODSTAWIE USTAWY Z DNIA 20 LIPCA 2018 R</dc:title>
  <dc:subject/>
  <dc:creator>Krzysiek</dc:creator>
  <cp:keywords/>
  <dc:description/>
  <cp:lastModifiedBy>Magdalena Hryniewicz</cp:lastModifiedBy>
  <cp:revision>3</cp:revision>
  <cp:lastPrinted>2019-01-24T15:49:00Z</cp:lastPrinted>
  <dcterms:created xsi:type="dcterms:W3CDTF">2021-03-22T12:38:00Z</dcterms:created>
  <dcterms:modified xsi:type="dcterms:W3CDTF">2021-04-14T09:19:00Z</dcterms:modified>
</cp:coreProperties>
</file>